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6" w:afterLines="50" w:line="560" w:lineRule="exact"/>
        <w:jc w:val="left"/>
        <w:outlineLvl w:val="2"/>
        <w:rPr>
          <w:rFonts w:ascii="Times New Roman" w:hAnsi="Times New Roman" w:eastAsia="仿宋" w:cs="Times New Roman"/>
          <w:bCs/>
          <w:sz w:val="36"/>
          <w:szCs w:val="36"/>
        </w:rPr>
      </w:pPr>
      <w:bookmarkStart w:id="0" w:name="_Toc164326872"/>
      <w:r>
        <w:rPr>
          <w:rFonts w:ascii="Times New Roman" w:hAnsi="Times New Roman" w:eastAsia="华文中宋" w:cs="Times New Roman"/>
          <w:bCs/>
          <w:sz w:val="36"/>
          <w:szCs w:val="36"/>
        </w:rPr>
        <w:t>创新模式一：</w:t>
      </w:r>
      <w:bookmarkEnd w:id="0"/>
    </w:p>
    <w:p>
      <w:pPr>
        <w:spacing w:line="560" w:lineRule="exact"/>
        <w:jc w:val="center"/>
        <w:outlineLvl w:val="2"/>
        <w:rPr>
          <w:rFonts w:ascii="Times New Roman" w:hAnsi="Times New Roman" w:eastAsia="华文中宋" w:cs="Times New Roman"/>
          <w:bCs/>
          <w:sz w:val="36"/>
          <w:szCs w:val="36"/>
        </w:rPr>
      </w:pPr>
      <w:bookmarkStart w:id="1" w:name="_Toc164326873"/>
      <w:r>
        <w:rPr>
          <w:rFonts w:ascii="Times New Roman" w:hAnsi="Times New Roman" w:eastAsia="华文中宋" w:cs="Times New Roman"/>
          <w:bCs/>
          <w:sz w:val="36"/>
          <w:szCs w:val="36"/>
        </w:rPr>
        <w:t>中国农业银行“线上+线下”精准服务农机装备全产业链模式</w:t>
      </w:r>
      <w:bookmarkEnd w:id="1"/>
    </w:p>
    <w:p>
      <w:pPr>
        <w:pStyle w:val="2"/>
        <w:spacing w:line="560" w:lineRule="exact"/>
        <w:ind w:firstLine="420"/>
        <w:rPr>
          <w:rFonts w:ascii="Times New Roman" w:hAnsi="Times New Roman" w:cs="Times New Roman"/>
        </w:rPr>
      </w:pPr>
    </w:p>
    <w:p>
      <w:pPr>
        <w:pStyle w:val="5"/>
        <w:spacing w:beforeAutospacing="0" w:afterAutospacing="0" w:line="560" w:lineRule="exact"/>
        <w:ind w:firstLine="643" w:firstLineChars="200"/>
        <w:jc w:val="both"/>
        <w:rPr>
          <w:rFonts w:hint="default" w:ascii="Times New Roman" w:hAnsi="Times New Roman" w:eastAsia="楷体"/>
          <w:kern w:val="2"/>
          <w:sz w:val="32"/>
          <w:szCs w:val="32"/>
        </w:rPr>
      </w:pPr>
      <w:r>
        <w:rPr>
          <w:rFonts w:hint="default" w:ascii="Times New Roman" w:hAnsi="Times New Roman" w:eastAsia="楷体_GB2312"/>
          <w:b/>
          <w:bCs/>
          <w:sz w:val="32"/>
          <w:szCs w:val="32"/>
        </w:rPr>
        <w:t>【摘要】</w:t>
      </w:r>
      <w:r>
        <w:rPr>
          <w:rFonts w:hint="default" w:ascii="Times New Roman" w:hAnsi="Times New Roman" w:eastAsia="楷体"/>
          <w:sz w:val="32"/>
          <w:szCs w:val="32"/>
        </w:rPr>
        <w:t>“农稳社稷，器利农桑”。农机装备是落实“藏粮于地、藏粮于技”战略的重要内容，是体现我国制造业和农业科技水平的重要载体，是引领农业现代化的科技“铁翅膀”。农业银行认真贯彻落实党中央决策部署，加强与农业农村部、科技部等部委合作，在全国创新推出“农机贷”金融服务模式，通过“线上+线下”精准服务农机装备全产业链，积极强化“科技+金融”双向赋能，推进“场景+模式”精准匹配，不断加大对农机装备产业链和集群客群的金融支持力度，以金融之力夯实粮食安全根基。</w:t>
      </w:r>
    </w:p>
    <w:p>
      <w:pPr>
        <w:spacing w:line="560" w:lineRule="exact"/>
        <w:ind w:firstLine="420"/>
        <w:rPr>
          <w:rFonts w:ascii="Times New Roman" w:hAnsi="Times New Roman" w:cs="Times New Roman"/>
          <w:szCs w:val="21"/>
        </w:rPr>
      </w:pPr>
      <w:r>
        <w:rPr>
          <w:rFonts w:ascii="Times New Roman" w:hAnsi="Times New Roman" w:cs="Times New Roman"/>
        </w:rPr>
        <w:t xml:space="preserve"> </w:t>
      </w:r>
    </w:p>
    <w:p>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一、创新背景</w:t>
      </w:r>
    </w:p>
    <w:p>
      <w:pPr>
        <w:spacing w:after="0"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农机装备是“藏粮于地、藏粮于技”的重要抓手。党的二十大报告指出，建设农业强国要“强化农业科技和装备支撑”。现代化农机装备应用于耕、种、保、收、储、烘、运等环节，能够有效提升农业农村现代化水平，提高生产效率，是“藏粮于地、藏粮于技”的重要抓手。自2021年起，中央一号文件连续四年提出要加快先进农机的研发推广，农业农村部、国家发改委、工信部、财政部、科技部等部委也出台相关政策，推动农机装备产业加快发展。在此背景下，农业银行开展农机装备产业链金融服务，旨在保障国家粮食安全、助力提升农业科技水平，更好地履行服务乡村振兴战略的责任和使命。农</w:t>
      </w:r>
      <w:r>
        <w:rPr>
          <w:rFonts w:hint="eastAsia" w:ascii="Times New Roman" w:hAnsi="Times New Roman" w:eastAsia="仿宋" w:cs="Times New Roman"/>
          <w:sz w:val="32"/>
          <w:szCs w:val="32"/>
        </w:rPr>
        <w:t>业银</w:t>
      </w:r>
      <w:r>
        <w:rPr>
          <w:rFonts w:ascii="Times New Roman" w:hAnsi="Times New Roman" w:eastAsia="仿宋" w:cs="Times New Roman"/>
          <w:sz w:val="32"/>
          <w:szCs w:val="32"/>
        </w:rPr>
        <w:t>行具有服务农业机械化的良好基础。农业机械化是推进农业农村现代化的重要抓手和支撑。农业机械化离不开金融支持。农业银行因农而生、伴农成长，在长期服务农业机械化过程中积累了经验，逐渐形成了网点网络、人员队伍、产品创新、综合服务、政策保障等方面的优势。农机装备产业稳链</w:t>
      </w:r>
      <w:r>
        <w:rPr>
          <w:rFonts w:hint="eastAsia" w:ascii="Times New Roman" w:hAnsi="Times New Roman" w:eastAsia="仿宋" w:cs="Times New Roman"/>
          <w:sz w:val="32"/>
          <w:szCs w:val="32"/>
        </w:rPr>
        <w:t>、</w:t>
      </w:r>
      <w:r>
        <w:rPr>
          <w:rFonts w:ascii="Times New Roman" w:hAnsi="Times New Roman" w:eastAsia="仿宋" w:cs="Times New Roman"/>
          <w:sz w:val="32"/>
          <w:szCs w:val="32"/>
        </w:rPr>
        <w:t>强链</w:t>
      </w:r>
      <w:r>
        <w:rPr>
          <w:rFonts w:hint="eastAsia" w:ascii="Times New Roman" w:hAnsi="Times New Roman" w:eastAsia="仿宋" w:cs="Times New Roman"/>
          <w:sz w:val="32"/>
          <w:szCs w:val="32"/>
        </w:rPr>
        <w:t>、</w:t>
      </w:r>
      <w:r>
        <w:rPr>
          <w:rFonts w:ascii="Times New Roman" w:hAnsi="Times New Roman" w:eastAsia="仿宋" w:cs="Times New Roman"/>
          <w:sz w:val="32"/>
          <w:szCs w:val="32"/>
        </w:rPr>
        <w:t>延链需要金融支持。自2018年起，我国已成为全球第一农机制造和使用大国，但与世界先进水平相比，我国农机装备的核心技术差距较大，研发投入不足，“一大一小”短板突出。与此同时，农机装备客群量大面广</w:t>
      </w:r>
      <w:r>
        <w:rPr>
          <w:rFonts w:hint="eastAsia" w:ascii="Times New Roman" w:hAnsi="Times New Roman" w:eastAsia="仿宋" w:cs="Times New Roman"/>
          <w:sz w:val="32"/>
          <w:szCs w:val="32"/>
        </w:rPr>
        <w:t>、</w:t>
      </w:r>
      <w:r>
        <w:rPr>
          <w:rFonts w:ascii="Times New Roman" w:hAnsi="Times New Roman" w:eastAsia="仿宋" w:cs="Times New Roman"/>
          <w:sz w:val="32"/>
          <w:szCs w:val="32"/>
        </w:rPr>
        <w:t>整体资金需求量大，融资难、融资贵问题仍较为突出，迫切需要金融机构针对性地创新金融产品，加快探索有效服务模式。</w:t>
      </w:r>
    </w:p>
    <w:p>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二、主要做法</w:t>
      </w:r>
    </w:p>
    <w:p>
      <w:pPr>
        <w:snapToGrid w:val="0"/>
        <w:spacing w:after="0" w:line="560" w:lineRule="exact"/>
        <w:ind w:firstLine="643" w:firstLineChars="200"/>
        <w:rPr>
          <w:rFonts w:ascii="Times New Roman" w:hAnsi="Times New Roman" w:eastAsia="仿宋" w:cs="Times New Roman"/>
          <w:sz w:val="32"/>
          <w:szCs w:val="32"/>
        </w:rPr>
      </w:pPr>
      <w:r>
        <w:rPr>
          <w:rFonts w:hint="eastAsia" w:ascii="Times New Roman" w:hAnsi="Times New Roman" w:eastAsia="楷体" w:cs="Times New Roman"/>
          <w:b/>
          <w:bCs/>
          <w:sz w:val="32"/>
          <w:szCs w:val="32"/>
        </w:rPr>
        <w:t>（</w:t>
      </w:r>
      <w:r>
        <w:rPr>
          <w:rFonts w:ascii="Times New Roman" w:hAnsi="Times New Roman" w:eastAsia="楷体" w:cs="Times New Roman"/>
          <w:b/>
          <w:bCs/>
          <w:sz w:val="32"/>
          <w:szCs w:val="32"/>
        </w:rPr>
        <w:t>一）瞄准行业需求，加大产品创新和服务力度。</w:t>
      </w:r>
      <w:r>
        <w:rPr>
          <w:rFonts w:ascii="Times New Roman" w:hAnsi="Times New Roman" w:eastAsia="仿宋" w:cs="Times New Roman"/>
          <w:b/>
          <w:bCs/>
          <w:sz w:val="32"/>
          <w:szCs w:val="32"/>
        </w:rPr>
        <w:t>一是定制全产业链金融服务方案。</w:t>
      </w:r>
      <w:r>
        <w:rPr>
          <w:rFonts w:ascii="Times New Roman" w:hAnsi="Times New Roman" w:eastAsia="仿宋" w:cs="Times New Roman"/>
          <w:sz w:val="32"/>
          <w:szCs w:val="32"/>
        </w:rPr>
        <w:t>2023年4月，在农业农村部、中国农村技术开发中心的指导帮助下，农业银行出台国内首个专为农机产业链提供服务的金融方案——《“农机贷”金融服务实施方案》（以下简称“方案”），为加大对农机产业链和农机产业集群的金融支持力度，不断扩大在农机领域金融服务覆盖面，探索打造“农机贷”业务品牌，提供了具体实践指引。《方案》出台实施次月即在山东落地，现在全国范围内探索推广。截至2023年末，农业银行农机贷款余额较年初增长21%，较2022年初增长53%。</w:t>
      </w:r>
      <w:r>
        <w:rPr>
          <w:rFonts w:ascii="Times New Roman" w:hAnsi="Times New Roman" w:eastAsia="仿宋" w:cs="Times New Roman"/>
          <w:b/>
          <w:bCs/>
          <w:sz w:val="32"/>
          <w:szCs w:val="32"/>
        </w:rPr>
        <w:t>二是创新产品和服务模式。</w:t>
      </w:r>
      <w:r>
        <w:rPr>
          <w:rFonts w:ascii="Times New Roman" w:hAnsi="Times New Roman" w:eastAsia="仿宋" w:cs="Times New Roman"/>
          <w:sz w:val="32"/>
          <w:szCs w:val="32"/>
        </w:rPr>
        <w:t>“农机贷”针对农机装备产、供、销、用各环节金融需求，围绕农机装备全产业链，以链主企业为核心延伸至上、下游，为产业链上各类客群提供“线上+线下”一揽子金融服务，打造智能化、数字化的金融服务手段，形成了“链式”金融服务模式。如，山东分行根据五征集团的经营特点和资金需求，为企业提供“农机装备</w:t>
      </w:r>
      <w:r>
        <w:rPr>
          <w:rFonts w:ascii="Times New Roman" w:hAnsi="Times New Roman" w:eastAsia="仿宋" w:cs="Times New Roman"/>
          <w:sz w:val="30"/>
          <w:szCs w:val="30"/>
        </w:rPr>
        <w:t>‘</w:t>
      </w:r>
      <w:r>
        <w:rPr>
          <w:rFonts w:ascii="Times New Roman" w:hAnsi="Times New Roman" w:eastAsia="仿宋" w:cs="Times New Roman"/>
          <w:sz w:val="32"/>
          <w:szCs w:val="32"/>
        </w:rPr>
        <w:t>双向赋能’全产业链金融服务场景”，通过链主企业的信用赋能和数据赋能，为其上游供应商和下游经销商发放线上贷款，通过</w:t>
      </w:r>
      <w:r>
        <w:rPr>
          <w:rFonts w:hint="eastAsia" w:ascii="Times New Roman" w:hAnsi="Times New Roman" w:eastAsia="仿宋" w:cs="Times New Roman"/>
          <w:sz w:val="32"/>
          <w:szCs w:val="32"/>
        </w:rPr>
        <w:t>“</w:t>
      </w:r>
      <w:r>
        <w:rPr>
          <w:rFonts w:ascii="Times New Roman" w:hAnsi="Times New Roman" w:eastAsia="仿宋" w:cs="Times New Roman"/>
          <w:sz w:val="32"/>
          <w:szCs w:val="32"/>
        </w:rPr>
        <w:t>线上触达+线下深耕</w:t>
      </w:r>
      <w:r>
        <w:rPr>
          <w:rFonts w:hint="eastAsia" w:ascii="Times New Roman" w:hAnsi="Times New Roman" w:eastAsia="仿宋" w:cs="Times New Roman"/>
          <w:sz w:val="32"/>
          <w:szCs w:val="32"/>
        </w:rPr>
        <w:t>”</w:t>
      </w:r>
      <w:r>
        <w:rPr>
          <w:rFonts w:ascii="Times New Roman" w:hAnsi="Times New Roman" w:eastAsia="仿宋" w:cs="Times New Roman"/>
          <w:sz w:val="32"/>
          <w:szCs w:val="32"/>
        </w:rPr>
        <w:t>，有效缓解了企业上、下游资金周转难题，每年帮助客户节约各项成本上百万元。</w:t>
      </w:r>
      <w:r>
        <w:rPr>
          <w:rFonts w:ascii="Times New Roman" w:hAnsi="Times New Roman" w:eastAsia="仿宋" w:cs="Times New Roman"/>
          <w:b/>
          <w:bCs/>
          <w:sz w:val="32"/>
          <w:szCs w:val="32"/>
        </w:rPr>
        <w:t>三是提升科技金融服务效能</w:t>
      </w:r>
      <w:r>
        <w:rPr>
          <w:rFonts w:ascii="Times New Roman" w:hAnsi="Times New Roman" w:eastAsia="仿宋" w:cs="Times New Roman"/>
          <w:sz w:val="32"/>
          <w:szCs w:val="32"/>
        </w:rPr>
        <w:t>。创新推出“智慧农服”“智慧合作社”等金融场景，利用北斗、大数据等科技手段，为农服主体提供“共享农机”等数字化服务。</w:t>
      </w:r>
    </w:p>
    <w:p>
      <w:pPr>
        <w:widowControl/>
        <w:snapToGrid w:val="0"/>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（二）践行“金融为民”，做好农机装备产业全链条金融服务。</w:t>
      </w:r>
      <w:r>
        <w:rPr>
          <w:rFonts w:ascii="Times New Roman" w:hAnsi="Times New Roman" w:eastAsia="仿宋" w:cs="Times New Roman"/>
          <w:sz w:val="32"/>
          <w:szCs w:val="32"/>
        </w:rPr>
        <w:t>充分发挥农业银行城乡联动、公私联动的综合服务优势，针对产业链条上的四类客群匹配支持政策，加大资源倾斜。</w:t>
      </w:r>
      <w:r>
        <w:rPr>
          <w:rFonts w:ascii="Times New Roman" w:hAnsi="Times New Roman" w:eastAsia="仿宋" w:cs="Times New Roman"/>
          <w:b/>
          <w:bCs/>
          <w:sz w:val="32"/>
          <w:szCs w:val="32"/>
        </w:rPr>
        <w:t>一是优先满足农机大户资金需求。</w:t>
      </w:r>
      <w:r>
        <w:rPr>
          <w:rFonts w:ascii="Times New Roman" w:hAnsi="Times New Roman" w:eastAsia="仿宋" w:cs="Times New Roman"/>
          <w:sz w:val="32"/>
          <w:szCs w:val="32"/>
        </w:rPr>
        <w:t>推广“惠农e贷”，创新“惠农网贷”，优化农机购置贷款政策，提高农机抵押率及贷款额度，实现农机购置贷款额度可达购置农机成交价格的70%。同时，支持多元化担保方式，对纳入中央财政补贴名录的农机具，最高抵押率提高至50%，切实普惠于民。</w:t>
      </w:r>
      <w:r>
        <w:rPr>
          <w:rFonts w:ascii="Times New Roman" w:hAnsi="Times New Roman" w:eastAsia="仿宋" w:cs="Times New Roman"/>
          <w:b/>
          <w:bCs/>
          <w:sz w:val="32"/>
          <w:szCs w:val="32"/>
        </w:rPr>
        <w:t>二是支持农机装备制造企业做“链主”。</w:t>
      </w:r>
      <w:r>
        <w:rPr>
          <w:rFonts w:ascii="Times New Roman" w:hAnsi="Times New Roman" w:eastAsia="仿宋" w:cs="Times New Roman"/>
          <w:sz w:val="32"/>
          <w:szCs w:val="32"/>
        </w:rPr>
        <w:t>优化信贷准入条件，为农机制造企业提供存、贷、债、基、投、顾等综合金融服务。如，新疆分行利用知识产权、商标权为质押，为农机制造企业发放贷款1.5亿元，并以“企业+购机户”模式创新开展“农机购置e贷”业务，利用链主企业信用，累计为170户农机户发放2.2亿元贷款用于购买采棉机。</w:t>
      </w:r>
      <w:r>
        <w:rPr>
          <w:rFonts w:ascii="Times New Roman" w:hAnsi="Times New Roman" w:eastAsia="仿宋" w:cs="Times New Roman"/>
          <w:b/>
          <w:bCs/>
          <w:sz w:val="32"/>
          <w:szCs w:val="32"/>
        </w:rPr>
        <w:t>三是创新服务农机流通应用。</w:t>
      </w:r>
      <w:r>
        <w:rPr>
          <w:rFonts w:ascii="Times New Roman" w:hAnsi="Times New Roman" w:eastAsia="仿宋" w:cs="Times New Roman"/>
          <w:sz w:val="32"/>
          <w:szCs w:val="32"/>
        </w:rPr>
        <w:t>新疆分行与农机流通企业签署了“农机贷款”战略合作协议，对企业推荐的购机户提供“农机e贷”全面服务，并定制了1-5年期优质低息的融资政策，大大降低了各方的融资成本。</w:t>
      </w:r>
      <w:r>
        <w:rPr>
          <w:rFonts w:ascii="Times New Roman" w:hAnsi="Times New Roman" w:eastAsia="仿宋" w:cs="Times New Roman"/>
          <w:b/>
          <w:bCs/>
          <w:sz w:val="32"/>
          <w:szCs w:val="32"/>
        </w:rPr>
        <w:t>四是精准服务关键农机装备研发推广。</w:t>
      </w:r>
      <w:r>
        <w:rPr>
          <w:rFonts w:ascii="Times New Roman" w:hAnsi="Times New Roman" w:eastAsia="仿宋" w:cs="Times New Roman"/>
          <w:sz w:val="32"/>
          <w:szCs w:val="32"/>
        </w:rPr>
        <w:t>对列入“十四五”国家重点研发计划智能农机装备重点专项的项目，实施差异化授权，针对性推出了“科技e贷”“专精特新小巨人贷”“火炬创新积分贷”等金融服务，助力了农机装备科技成果转化和产业化。</w:t>
      </w:r>
    </w:p>
    <w:p>
      <w:pPr>
        <w:snapToGrid w:val="0"/>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（三）加强外部合作，发挥综合经营优势和多方支农合力。</w:t>
      </w:r>
      <w:r>
        <w:rPr>
          <w:rFonts w:ascii="Times New Roman" w:hAnsi="Times New Roman" w:eastAsia="仿宋" w:cs="Times New Roman"/>
          <w:sz w:val="32"/>
          <w:szCs w:val="32"/>
        </w:rPr>
        <w:t>农</w:t>
      </w:r>
      <w:r>
        <w:rPr>
          <w:rFonts w:hint="eastAsia" w:ascii="Times New Roman" w:hAnsi="Times New Roman" w:eastAsia="仿宋" w:cs="Times New Roman"/>
          <w:sz w:val="32"/>
          <w:szCs w:val="32"/>
        </w:rPr>
        <w:t>业银</w:t>
      </w:r>
      <w:r>
        <w:rPr>
          <w:rFonts w:ascii="Times New Roman" w:hAnsi="Times New Roman" w:eastAsia="仿宋" w:cs="Times New Roman"/>
          <w:sz w:val="32"/>
          <w:szCs w:val="32"/>
        </w:rPr>
        <w:t>行主动拜访农业农村部、科技部、中国农业机械工业协会、中国农业大学和院士团队，携手各方推广“农机贷”。积极参加农业农村部主办的“智慧农业助力农业农村服务业发展”论坛、中国农业机械流通协会会议等活动。作为银行业唯一参展单位，亮相2023年中国国际农业机械展览会。作为重要合作伙伴参与国机集团“高端农业机械现代产业链共链行动”。</w:t>
      </w:r>
    </w:p>
    <w:p>
      <w:pPr>
        <w:widowControl/>
        <w:snapToGrid w:val="0"/>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（四）强化保障措施，全方位提升金融服务质效。</w:t>
      </w:r>
      <w:r>
        <w:rPr>
          <w:rFonts w:ascii="Times New Roman" w:hAnsi="Times New Roman" w:eastAsia="仿宋" w:cs="Times New Roman"/>
          <w:sz w:val="32"/>
          <w:szCs w:val="32"/>
        </w:rPr>
        <w:t>农业银行通过组织专项活动、倾斜资源、出台政策、强化激励等举措，多措并举推动金融服务农机装备落地见实效。</w:t>
      </w:r>
      <w:r>
        <w:rPr>
          <w:rFonts w:ascii="Times New Roman" w:hAnsi="Times New Roman" w:eastAsia="仿宋" w:cs="Times New Roman"/>
          <w:b/>
          <w:bCs/>
          <w:sz w:val="32"/>
          <w:szCs w:val="32"/>
        </w:rPr>
        <w:t>一是组织开展大走访活动。</w:t>
      </w:r>
      <w:r>
        <w:rPr>
          <w:rFonts w:ascii="Times New Roman" w:hAnsi="Times New Roman" w:eastAsia="仿宋" w:cs="Times New Roman"/>
          <w:sz w:val="32"/>
          <w:szCs w:val="32"/>
        </w:rPr>
        <w:t>对25个农机产业集群等“必走必访”客群，开展逐一对接，推动精准服务。</w:t>
      </w:r>
      <w:r>
        <w:rPr>
          <w:rFonts w:ascii="Times New Roman" w:hAnsi="Times New Roman" w:eastAsia="仿宋" w:cs="Times New Roman"/>
          <w:b/>
          <w:bCs/>
          <w:sz w:val="32"/>
          <w:szCs w:val="32"/>
        </w:rPr>
        <w:t>二是倾斜配置业务资源。</w:t>
      </w:r>
      <w:r>
        <w:rPr>
          <w:rFonts w:ascii="Times New Roman" w:hAnsi="Times New Roman" w:eastAsia="仿宋" w:cs="Times New Roman"/>
          <w:sz w:val="32"/>
          <w:szCs w:val="32"/>
        </w:rPr>
        <w:t>将农机装备重点项目纳入信贷资源战略配置范围，在信贷规模上优先保障，在信贷需求上优先满足。</w:t>
      </w:r>
      <w:r>
        <w:rPr>
          <w:rFonts w:ascii="Times New Roman" w:hAnsi="Times New Roman" w:eastAsia="仿宋" w:cs="Times New Roman"/>
          <w:b/>
          <w:bCs/>
          <w:sz w:val="32"/>
          <w:szCs w:val="32"/>
        </w:rPr>
        <w:t>三是制定出台差异化支持政策。</w:t>
      </w:r>
      <w:r>
        <w:rPr>
          <w:rFonts w:ascii="Times New Roman" w:hAnsi="Times New Roman" w:eastAsia="仿宋" w:cs="Times New Roman"/>
          <w:sz w:val="32"/>
          <w:szCs w:val="32"/>
        </w:rPr>
        <w:t>首次把农机行业列为农业银行“重点支持类”行业。</w:t>
      </w:r>
    </w:p>
    <w:p>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三、支农成效</w:t>
      </w:r>
    </w:p>
    <w:p>
      <w:pPr>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（一）支持高端农机产业链链长建设和关键农机装备研发。</w:t>
      </w:r>
      <w:r>
        <w:rPr>
          <w:rFonts w:ascii="Times New Roman" w:hAnsi="Times New Roman" w:eastAsia="仿宋" w:cs="Times New Roman"/>
          <w:sz w:val="32"/>
          <w:szCs w:val="32"/>
        </w:rPr>
        <w:t>农业银行与中国机械工业集团开展“总对总”合作，加大贷款投放力度，助力企业加强关键核心技术研发投入，打造高端农机现代产业链“链长”。在金融资本的有力支撑下，中国一拖集团研发了具有完全自主知识产权的国产320马力无级变速拖拉机并实现量产，填补了国内自主知识产权农机的空白。</w:t>
      </w:r>
    </w:p>
    <w:p>
      <w:pPr>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（二）专属金融服务推动产业集群做优做强。</w:t>
      </w:r>
      <w:r>
        <w:rPr>
          <w:rFonts w:ascii="Times New Roman" w:hAnsi="Times New Roman" w:eastAsia="仿宋" w:cs="Times New Roman"/>
          <w:sz w:val="32"/>
          <w:szCs w:val="32"/>
        </w:rPr>
        <w:t>针对农机产业集群化发展趋势，农业银行积极对接农机重点产业集群，批量开展金融服务。如，山东省现有农机制造企业2000余家，其中规上企业450家。农</w:t>
      </w:r>
      <w:r>
        <w:rPr>
          <w:rFonts w:hint="eastAsia" w:ascii="Times New Roman" w:hAnsi="Times New Roman" w:eastAsia="仿宋" w:cs="Times New Roman"/>
          <w:sz w:val="32"/>
          <w:szCs w:val="32"/>
        </w:rPr>
        <w:t>业银</w:t>
      </w:r>
      <w:r>
        <w:rPr>
          <w:rFonts w:ascii="Times New Roman" w:hAnsi="Times New Roman" w:eastAsia="仿宋" w:cs="Times New Roman"/>
          <w:sz w:val="32"/>
          <w:szCs w:val="32"/>
        </w:rPr>
        <w:t>行山东分行打出“政企联动+适配产品+场景营销+便捷流程”组合拳，打造金融服务乡村振兴齐鲁样板“十大模式”，针对农机装备产业集群，创新授信模式，通过“一集群一方案”，实现信贷业务批量化、表单化、标准化运作，目前已向全省4个农机装备产业集群投放贷款近6000万元。</w:t>
      </w:r>
    </w:p>
    <w:p>
      <w:pPr>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（三）金融助力农机合作社群体发展壮大。</w:t>
      </w:r>
      <w:r>
        <w:rPr>
          <w:rFonts w:ascii="Times New Roman" w:hAnsi="Times New Roman" w:eastAsia="仿宋" w:cs="Times New Roman"/>
          <w:sz w:val="32"/>
          <w:szCs w:val="32"/>
        </w:rPr>
        <w:t>农业银行深入挖掘农机大户的金融需求，在融资上给予最大支持，助力农机大户在实现自身发展的同时，带动周边农户多种粮、种好粮，做到了“点亮一盏灯，照亮一大片”。</w:t>
      </w:r>
    </w:p>
    <w:p>
      <w:pPr>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（四）政银共建服务平台支持“共享”农机进村入户。</w:t>
      </w:r>
      <w:r>
        <w:rPr>
          <w:rFonts w:ascii="Times New Roman" w:hAnsi="Times New Roman" w:eastAsia="仿宋" w:cs="Times New Roman"/>
          <w:sz w:val="32"/>
          <w:szCs w:val="32"/>
        </w:rPr>
        <w:t>农业银行坚持科技赋能，逐步开展农机场景服务的探索。如，山东省邹平市多年来承接国家农业社会化服务项目，一直采用人工办理方式。近期，农</w:t>
      </w:r>
      <w:r>
        <w:rPr>
          <w:rFonts w:hint="eastAsia" w:ascii="Times New Roman" w:hAnsi="Times New Roman" w:eastAsia="仿宋" w:cs="Times New Roman"/>
          <w:sz w:val="32"/>
          <w:szCs w:val="32"/>
        </w:rPr>
        <w:t>业银</w:t>
      </w:r>
      <w:r>
        <w:rPr>
          <w:rFonts w:ascii="Times New Roman" w:hAnsi="Times New Roman" w:eastAsia="仿宋" w:cs="Times New Roman"/>
          <w:sz w:val="32"/>
          <w:szCs w:val="32"/>
        </w:rPr>
        <w:t>行山东分行联动政府，上线农业社会化服务平台，帮助当地“共享”农机，实现便民、利企、优政三效合一。目前，邹平市已通过该平台完成土地托管7.5万亩次，托管作业收入达1089万元。</w:t>
      </w:r>
    </w:p>
    <w:p>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四、推广价值</w:t>
      </w:r>
    </w:p>
    <w:p>
      <w:pPr>
        <w:spacing w:after="0"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总结“农机贷”金融服务模式的主要内容，可归纳为</w:t>
      </w:r>
      <w:r>
        <w:rPr>
          <w:rFonts w:ascii="Times New Roman" w:hAnsi="Times New Roman" w:eastAsia="仿宋" w:cs="Times New Roman"/>
          <w:b/>
          <w:bCs/>
          <w:sz w:val="32"/>
          <w:szCs w:val="32"/>
        </w:rPr>
        <w:t>“上、下、内、外”</w:t>
      </w:r>
      <w:r>
        <w:rPr>
          <w:rFonts w:ascii="Times New Roman" w:hAnsi="Times New Roman" w:eastAsia="仿宋" w:cs="Times New Roman"/>
          <w:sz w:val="32"/>
          <w:szCs w:val="32"/>
        </w:rPr>
        <w:t>四种方法，即，</w:t>
      </w:r>
      <w:r>
        <w:rPr>
          <w:rFonts w:ascii="Times New Roman" w:hAnsi="Times New Roman" w:eastAsia="仿宋" w:cs="Times New Roman"/>
          <w:b/>
          <w:bCs/>
          <w:sz w:val="32"/>
          <w:szCs w:val="32"/>
        </w:rPr>
        <w:t>“上接天线”</w:t>
      </w:r>
      <w:r>
        <w:rPr>
          <w:rFonts w:ascii="Times New Roman" w:hAnsi="Times New Roman" w:eastAsia="仿宋" w:cs="Times New Roman"/>
          <w:sz w:val="32"/>
          <w:szCs w:val="32"/>
        </w:rPr>
        <w:t>，找准服务重点；</w:t>
      </w:r>
      <w:r>
        <w:rPr>
          <w:rFonts w:ascii="Times New Roman" w:hAnsi="Times New Roman" w:eastAsia="仿宋" w:cs="Times New Roman"/>
          <w:b/>
          <w:bCs/>
          <w:sz w:val="32"/>
          <w:szCs w:val="32"/>
        </w:rPr>
        <w:t>“下接地气”</w:t>
      </w:r>
      <w:r>
        <w:rPr>
          <w:rFonts w:ascii="Times New Roman" w:hAnsi="Times New Roman" w:eastAsia="仿宋" w:cs="Times New Roman"/>
          <w:sz w:val="32"/>
          <w:szCs w:val="32"/>
        </w:rPr>
        <w:t>，找准工作路径；</w:t>
      </w:r>
      <w:r>
        <w:rPr>
          <w:rFonts w:ascii="Times New Roman" w:hAnsi="Times New Roman" w:eastAsia="仿宋" w:cs="Times New Roman"/>
          <w:b/>
          <w:bCs/>
          <w:sz w:val="32"/>
          <w:szCs w:val="32"/>
        </w:rPr>
        <w:t>“外联机构”</w:t>
      </w:r>
      <w:r>
        <w:rPr>
          <w:rFonts w:ascii="Times New Roman" w:hAnsi="Times New Roman" w:eastAsia="仿宋" w:cs="Times New Roman"/>
          <w:sz w:val="32"/>
          <w:szCs w:val="32"/>
        </w:rPr>
        <w:t>，坚持创新驱动；</w:t>
      </w:r>
      <w:r>
        <w:rPr>
          <w:rFonts w:ascii="Times New Roman" w:hAnsi="Times New Roman" w:eastAsia="仿宋" w:cs="Times New Roman"/>
          <w:b/>
          <w:bCs/>
          <w:sz w:val="32"/>
          <w:szCs w:val="32"/>
        </w:rPr>
        <w:t>“内强协同”</w:t>
      </w:r>
      <w:r>
        <w:rPr>
          <w:rFonts w:ascii="Times New Roman" w:hAnsi="Times New Roman" w:eastAsia="仿宋" w:cs="Times New Roman"/>
          <w:sz w:val="32"/>
          <w:szCs w:val="32"/>
        </w:rPr>
        <w:t>，凝聚服务合力。“农机贷”金融服务模式的这一创新方法，能紧紧围绕国家政策导向，实现供需精准对接，助力解决“三农”重点行业、重点领域的融资难、融资贵问题，具备一定的推广价值。</w:t>
      </w:r>
    </w:p>
    <w:p>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五、下一步工作安排</w:t>
      </w:r>
    </w:p>
    <w:p>
      <w:pPr>
        <w:spacing w:after="0"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下一步，农业银行将继续深化与国家相关部委的合作，抓好“农机贷”金融服务模式的落地推广，发挥政策、创新、数字、科技金融优势，加大投贷联动、产业基金等服务创新，全力支持“一大一小”农机装备补短板，推动金融助力农民增收和农业增效，为农业现代化和科技创新贡献更多农</w:t>
      </w:r>
      <w:r>
        <w:rPr>
          <w:rFonts w:hint="eastAsia" w:ascii="Times New Roman" w:hAnsi="Times New Roman" w:eastAsia="仿宋" w:cs="Times New Roman"/>
          <w:sz w:val="32"/>
          <w:szCs w:val="32"/>
        </w:rPr>
        <w:t>业银</w:t>
      </w:r>
      <w:r>
        <w:rPr>
          <w:rFonts w:ascii="Times New Roman" w:hAnsi="Times New Roman" w:eastAsia="仿宋" w:cs="Times New Roman"/>
          <w:sz w:val="32"/>
          <w:szCs w:val="32"/>
        </w:rPr>
        <w:t>行力量。</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altName w:val="方正仿宋_GBK"/>
    <w:panose1 w:val="00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NTBiMjhhODI5NzlmMWIyM2VjZDZlMzliMjY1OTkifQ=="/>
  </w:docVars>
  <w:rsids>
    <w:rsidRoot w:val="00000000"/>
    <w:rsid w:val="3E0D1816"/>
    <w:rsid w:val="4DB94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next w:val="3"/>
    <w:qFormat/>
    <w:uiPriority w:val="99"/>
    <w:pPr>
      <w:spacing w:after="0" w:line="600" w:lineRule="exact"/>
      <w:ind w:firstLine="422" w:firstLineChars="200"/>
    </w:pPr>
    <w:rPr>
      <w:rFonts w:ascii="仿宋" w:hAnsi="仿宋" w:eastAsia="仿宋" w:cs="Courier New"/>
      <w:szCs w:val="21"/>
    </w:rPr>
  </w:style>
  <w:style w:type="paragraph" w:customStyle="1" w:styleId="3">
    <w:name w:val="正文 New New New New New New New New New New New New New New New New New New New New New New New New New New New New New New New New New New New New New New"/>
    <w:next w:val="4"/>
    <w:qFormat/>
    <w:uiPriority w:val="0"/>
    <w:pPr>
      <w:widowControl w:val="0"/>
      <w:spacing w:line="600" w:lineRule="exact"/>
      <w:ind w:firstLine="720" w:firstLineChars="200"/>
      <w:jc w:val="both"/>
    </w:pPr>
    <w:rPr>
      <w:rFonts w:ascii="Calibri" w:hAnsi="Calibri" w:eastAsia="宋体" w:cs="方正仿宋简体"/>
      <w:kern w:val="2"/>
      <w:sz w:val="36"/>
      <w:szCs w:val="36"/>
      <w:lang w:val="en-US" w:eastAsia="zh-CN" w:bidi="ar-SA"/>
    </w:rPr>
  </w:style>
  <w:style w:type="paragraph" w:styleId="4">
    <w:name w:val="footer"/>
    <w:basedOn w:val="1"/>
    <w:next w:val="1"/>
    <w:qFormat/>
    <w:uiPriority w:val="99"/>
    <w:pPr>
      <w:tabs>
        <w:tab w:val="center" w:pos="4153"/>
        <w:tab w:val="right" w:pos="8306"/>
      </w:tabs>
      <w:snapToGrid w:val="0"/>
      <w:spacing w:after="0" w:line="240" w:lineRule="atLeast"/>
      <w:ind w:firstLine="360"/>
      <w:jc w:val="left"/>
    </w:pPr>
    <w:rPr>
      <w:rFonts w:ascii="Times New Roman" w:hAnsi="Times New Roman" w:cs="Times New Roman"/>
      <w:szCs w:val="21"/>
    </w:rPr>
  </w:style>
  <w:style w:type="paragraph" w:styleId="5">
    <w:name w:val="Normal (Web)"/>
    <w:basedOn w:val="1"/>
    <w:qFormat/>
    <w:uiPriority w:val="99"/>
    <w:pPr>
      <w:widowControl/>
      <w:spacing w:beforeAutospacing="1" w:after="0" w:afterAutospacing="1"/>
      <w:jc w:val="left"/>
    </w:pPr>
    <w:rPr>
      <w:rFonts w:hint="eastAsia" w:ascii="宋体" w:hAnsi="宋体" w:eastAsia="宋体"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3306</Words>
  <Characters>3360</Characters>
  <Lines>0</Lines>
  <Paragraphs>0</Paragraphs>
  <TotalTime>0</TotalTime>
  <ScaleCrop>false</ScaleCrop>
  <LinksUpToDate>false</LinksUpToDate>
  <CharactersWithSpaces>3361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2024-05-20T06:26:00Z</dcterms:created>
  <dc:creator>16214</dc:creator>
  <cp:lastModifiedBy>ZL</cp:lastModifiedBy>
  <dcterms:modified xsi:type="dcterms:W3CDTF">2024-05-20T07:28:40Z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5B3F2949A4B7489C978A2F511B832544_12</vt:lpwstr>
  </property>
</Properties>
</file>