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仿宋" w:cs="Times New Roman"/>
          <w:bCs/>
          <w:sz w:val="36"/>
          <w:szCs w:val="36"/>
        </w:rPr>
      </w:pPr>
      <w:bookmarkStart w:id="0" w:name="_Toc164326897"/>
      <w:r>
        <w:rPr>
          <w:rFonts w:ascii="Times New Roman" w:hAnsi="Times New Roman" w:eastAsia="华文中宋" w:cs="Times New Roman"/>
          <w:bCs/>
          <w:sz w:val="36"/>
          <w:szCs w:val="36"/>
        </w:rPr>
        <w:t>典型案例一：</w:t>
      </w:r>
      <w:bookmarkEnd w:id="0"/>
    </w:p>
    <w:p>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bookmarkStart w:id="1" w:name="_Toc164326898"/>
      <w:r>
        <w:rPr>
          <w:rFonts w:ascii="Times New Roman" w:hAnsi="Times New Roman" w:eastAsia="华文中宋" w:cs="Times New Roman"/>
          <w:bCs/>
          <w:kern w:val="0"/>
          <w:sz w:val="40"/>
          <w:szCs w:val="40"/>
          <w:shd w:val="clear" w:color="auto" w:fill="FFFFFF"/>
        </w:rPr>
        <w:t>广东省乡村振兴板助力金融赋能农业企业案例</w:t>
      </w:r>
      <w:bookmarkEnd w:id="1"/>
    </w:p>
    <w:p>
      <w:pPr>
        <w:widowControl/>
        <w:shd w:val="clear" w:color="auto" w:fill="FFFFFF"/>
        <w:autoSpaceDE w:val="0"/>
        <w:spacing w:after="0" w:line="560" w:lineRule="exact"/>
        <w:jc w:val="center"/>
        <w:rPr>
          <w:rFonts w:ascii="Times New Roman" w:hAnsi="Times New Roman" w:eastAsia="仿宋" w:cs="Times New Roman"/>
          <w:bCs/>
          <w:kern w:val="0"/>
          <w:sz w:val="40"/>
          <w:szCs w:val="40"/>
          <w:shd w:val="clear" w:color="auto" w:fill="FFFFFF"/>
        </w:rPr>
      </w:pPr>
      <w:r>
        <w:rPr>
          <w:rFonts w:ascii="Times New Roman" w:hAnsi="Times New Roman" w:eastAsia="仿宋" w:cs="Times New Roman"/>
          <w:bCs/>
          <w:kern w:val="0"/>
          <w:sz w:val="40"/>
          <w:szCs w:val="40"/>
          <w:shd w:val="clear" w:color="auto" w:fill="FFFFFF"/>
        </w:rPr>
        <w:t xml:space="preserve"> </w:t>
      </w:r>
    </w:p>
    <w:p>
      <w:pPr>
        <w:widowControl/>
        <w:autoSpaceDE w:val="0"/>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kern w:val="0"/>
          <w:sz w:val="32"/>
          <w:szCs w:val="32"/>
        </w:rPr>
        <w:t>【摘要】</w:t>
      </w:r>
      <w:r>
        <w:rPr>
          <w:rFonts w:ascii="Times New Roman" w:hAnsi="Times New Roman" w:eastAsia="楷体" w:cs="Times New Roman"/>
          <w:kern w:val="0"/>
          <w:sz w:val="32"/>
          <w:szCs w:val="32"/>
        </w:rPr>
        <w:t>2020年，广东省农业农村厅与广东股权交易中心共建“广东省农业高质量发展板”（2021年更名为“广东乡村振兴板”），为广东省农业企业建设专属资本平台，助力农业企业获取更多的政策、资金、技术、人才等各类资本市场服务支持，规范农业企业发展，引导农业企业对接资本市场，运用资本力量助力乡村振兴。截至2023年末，广东乡村振兴板挂牌展示企业合计464家，帮助263家企业获11家银行79.52亿元融资授信，10家企业获得股权融资18.51亿元，推动12家企业开展股份改制，1家企业在广东证监局完成辅导备案，拟在主板上市。</w:t>
      </w:r>
    </w:p>
    <w:p>
      <w:pPr>
        <w:widowControl/>
        <w:autoSpaceDE w:val="0"/>
        <w:spacing w:after="0" w:line="560" w:lineRule="exact"/>
        <w:ind w:firstLine="640" w:firstLineChars="200"/>
        <w:rPr>
          <w:rFonts w:ascii="Times New Roman" w:hAnsi="Times New Roman" w:eastAsia="楷体" w:cs="Times New Roman"/>
          <w:kern w:val="0"/>
          <w:sz w:val="32"/>
          <w:szCs w:val="32"/>
        </w:rPr>
      </w:pPr>
    </w:p>
    <w:p>
      <w:pPr>
        <w:widowControl/>
        <w:autoSpaceDE w:val="0"/>
        <w:spacing w:before="156" w:beforeLines="50" w:after="156" w:afterLines="50" w:line="56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bCs/>
          <w:kern w:val="0"/>
          <w:sz w:val="32"/>
          <w:szCs w:val="32"/>
        </w:rPr>
        <w:t>一、创新背景</w:t>
      </w:r>
    </w:p>
    <w:p>
      <w:pPr>
        <w:widowControl/>
        <w:shd w:val="clear" w:color="auto" w:fill="FFFFFF"/>
        <w:autoSpaceDE w:val="0"/>
        <w:spacing w:after="0" w:line="56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金融是现代经济的血液和核心。金融支持乡村振兴，关键是要振兴产业，发挥农业龙头企业的示范引领带动作用。目前，广东省有各级农业龙头企业5525家，其中省级及以上农业龙头企业1490家，国家、省、市、县四级联动发展格局基本成形。为贯彻落实省委、省政府战略部署，提升广东省农业企业经营管理水平、自主创新和投融资能力，2020年12月，广东省农业农村厅与广东股权交易中心共同筹建“广东省农业高质量发展板”，并于2021年11月更名为“广东乡村振兴板”。广东乡村振兴板为广东省农业企业拓宽融资渠道，实现政府引导与市场调节相结合，致力于打造农业企业资源积累平台、农业企业规范发展平台、支农惠农服务创新平台。集聚银行、保险、担保、投资机构、知识产权等金融资源以及支农惠农政策，以股份制改造、股权激励、引进各类战略投资者等方式辅助企业规范发展，为挂牌农业企业提供“孵化培育+政策匹配+融资对接+知识产权+金融路演+股改规范+上市辅导”全链条综合金融服务，促进投融资精准对接，撬动区域农业产业发展，对加快转变农业发展方式、引领农业转型升级、促进农村产业融合发展、推进农业科技创新和成果转化、构建现代农业产业和经营体系等方面发挥着重要作用，推动广东乡村振兴向纵深发展。</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widowControl/>
        <w:shd w:val="clear" w:color="auto" w:fill="FFFFFF"/>
        <w:autoSpaceDE w:val="0"/>
        <w:spacing w:after="0" w:line="560" w:lineRule="exact"/>
        <w:ind w:firstLine="643" w:firstLineChars="200"/>
        <w:rPr>
          <w:rFonts w:ascii="Times New Roman" w:hAnsi="Times New Roman" w:eastAsia="楷体" w:cs="Times New Roman"/>
          <w:b/>
          <w:bCs/>
          <w:kern w:val="0"/>
          <w:sz w:val="32"/>
          <w:szCs w:val="32"/>
          <w:shd w:val="clear" w:color="auto" w:fill="FFFFFF"/>
        </w:rPr>
      </w:pPr>
      <w:r>
        <w:rPr>
          <w:rFonts w:ascii="Times New Roman" w:hAnsi="Times New Roman" w:eastAsia="楷体" w:cs="Times New Roman"/>
          <w:b/>
          <w:bCs/>
          <w:kern w:val="0"/>
          <w:sz w:val="32"/>
          <w:szCs w:val="32"/>
          <w:shd w:val="clear" w:color="auto" w:fill="FFFFFF"/>
        </w:rPr>
        <w:t>（一）设立广东乡村振兴板后备企业库。</w:t>
      </w:r>
      <w:r>
        <w:rPr>
          <w:rFonts w:ascii="Times New Roman" w:hAnsi="Times New Roman" w:eastAsia="仿宋" w:cs="Times New Roman"/>
          <w:kern w:val="0"/>
          <w:sz w:val="32"/>
          <w:szCs w:val="32"/>
          <w:shd w:val="clear" w:color="auto" w:fill="FFFFFF"/>
        </w:rPr>
        <w:t>广东省农业农村厅联合广东股权交易中心联合发布《广东乡村振兴板后备企业库认定和培育入库申请指南》，通过逐级申报、组织审核、公示、分批入库的方式，建立广东乡村振兴板动态后备企业库。截至2023年末，已入库企业504家，并对入库企业进行调研，了解企业经营状况和金融需求，有针对性地为企业对接资源，推动广东乡村振兴板挂牌展示、股改、投融资对接等工作。</w:t>
      </w:r>
    </w:p>
    <w:p>
      <w:pPr>
        <w:widowControl/>
        <w:shd w:val="clear" w:color="auto" w:fill="FFFFFF"/>
        <w:autoSpaceDE w:val="0"/>
        <w:spacing w:after="0" w:line="560" w:lineRule="exact"/>
        <w:ind w:firstLine="643" w:firstLineChars="200"/>
        <w:rPr>
          <w:rFonts w:ascii="Times New Roman" w:hAnsi="Times New Roman" w:eastAsia="楷体" w:cs="Times New Roman"/>
          <w:b/>
          <w:bCs/>
          <w:kern w:val="0"/>
          <w:sz w:val="32"/>
          <w:szCs w:val="32"/>
          <w:shd w:val="clear" w:color="auto" w:fill="FFFFFF"/>
        </w:rPr>
      </w:pPr>
      <w:r>
        <w:rPr>
          <w:rFonts w:ascii="Times New Roman" w:hAnsi="Times New Roman" w:eastAsia="楷体" w:cs="Times New Roman"/>
          <w:b/>
          <w:bCs/>
          <w:kern w:val="0"/>
          <w:sz w:val="32"/>
          <w:szCs w:val="32"/>
          <w:shd w:val="clear" w:color="auto" w:fill="FFFFFF"/>
        </w:rPr>
        <w:t>（二）深度服务广东乡村振兴板挂牌企业。</w:t>
      </w:r>
      <w:r>
        <w:rPr>
          <w:rFonts w:ascii="Times New Roman" w:hAnsi="Times New Roman" w:eastAsia="仿宋" w:cs="Times New Roman"/>
          <w:b/>
          <w:bCs/>
          <w:kern w:val="0"/>
          <w:sz w:val="32"/>
          <w:szCs w:val="32"/>
          <w:shd w:val="clear" w:color="auto" w:fill="FFFFFF"/>
        </w:rPr>
        <w:t>一是组织开展金融服务。</w:t>
      </w:r>
      <w:r>
        <w:rPr>
          <w:rFonts w:ascii="Times New Roman" w:hAnsi="Times New Roman" w:eastAsia="仿宋" w:cs="Times New Roman"/>
          <w:kern w:val="0"/>
          <w:sz w:val="32"/>
          <w:szCs w:val="32"/>
          <w:shd w:val="clear" w:color="auto" w:fill="FFFFFF"/>
        </w:rPr>
        <w:t>以广东乡村振兴板挂版展示企业和入库后备企业为重点，组织开展金融支持“土特产”助力百千万高质量发展、“金融支农+科技兴农”涉农知识产权银企融资对接会等系列品牌活动，为广东乡村振兴板挂牌企业提供孵化培育、路演对接等金融服务。</w:t>
      </w:r>
      <w:r>
        <w:rPr>
          <w:rFonts w:ascii="Times New Roman" w:hAnsi="Times New Roman" w:eastAsia="仿宋" w:cs="Times New Roman"/>
          <w:b/>
          <w:bCs/>
          <w:kern w:val="0"/>
          <w:sz w:val="32"/>
          <w:szCs w:val="32"/>
          <w:shd w:val="clear" w:color="auto" w:fill="FFFFFF"/>
        </w:rPr>
        <w:t>二是创设“粤农金融路演中心”。</w:t>
      </w:r>
      <w:r>
        <w:rPr>
          <w:rFonts w:ascii="Times New Roman" w:hAnsi="Times New Roman" w:eastAsia="仿宋" w:cs="Times New Roman"/>
          <w:kern w:val="0"/>
          <w:sz w:val="32"/>
          <w:szCs w:val="32"/>
          <w:shd w:val="clear" w:color="auto" w:fill="FFFFFF"/>
        </w:rPr>
        <w:t>定向邀请农业领域专家、投资机构和乡村振兴板挂牌企业参与，挖掘优质农业项目，精准对接各类私募股权投资机构，引导企业有效对接社会资本，满足粤农企业多种融资需求，拓宽涉农企业融资渠道。</w:t>
      </w:r>
      <w:r>
        <w:rPr>
          <w:rFonts w:ascii="Times New Roman" w:hAnsi="Times New Roman" w:eastAsia="仿宋" w:cs="Times New Roman"/>
          <w:b/>
          <w:bCs/>
          <w:kern w:val="0"/>
          <w:sz w:val="32"/>
          <w:szCs w:val="32"/>
          <w:shd w:val="clear" w:color="auto" w:fill="FFFFFF"/>
        </w:rPr>
        <w:t>三是强化企业品牌宣传。</w:t>
      </w:r>
      <w:r>
        <w:rPr>
          <w:rFonts w:ascii="Times New Roman" w:hAnsi="Times New Roman" w:eastAsia="仿宋" w:cs="Times New Roman"/>
          <w:kern w:val="0"/>
          <w:sz w:val="32"/>
          <w:szCs w:val="32"/>
          <w:shd w:val="clear" w:color="auto" w:fill="FFFFFF"/>
        </w:rPr>
        <w:t>推动广东股权交易中心与广州日报等媒体合作，打造广东乡村振兴板挂牌企业专题“粤资本-农企行”，并联合南方财经全媒体集团、人民日报、南方农村报、经济科教频道等媒体打造全渠道宣传矩阵，聚焦广东乡村振兴板优质挂牌企业，开展常态化企业品牌宣传，形成农企产业链平台生态圈。</w:t>
      </w:r>
      <w:r>
        <w:rPr>
          <w:rFonts w:ascii="Times New Roman" w:hAnsi="Times New Roman" w:eastAsia="仿宋" w:cs="Times New Roman"/>
          <w:b/>
          <w:bCs/>
          <w:kern w:val="0"/>
          <w:sz w:val="32"/>
          <w:szCs w:val="32"/>
          <w:shd w:val="clear" w:color="auto" w:fill="FFFFFF"/>
        </w:rPr>
        <w:t>四是推进涉农企业股份制改造。</w:t>
      </w:r>
      <w:r>
        <w:rPr>
          <w:rFonts w:ascii="Times New Roman" w:hAnsi="Times New Roman" w:eastAsia="仿宋" w:cs="Times New Roman"/>
          <w:kern w:val="0"/>
          <w:sz w:val="32"/>
          <w:szCs w:val="32"/>
          <w:shd w:val="clear" w:color="auto" w:fill="FFFFFF"/>
        </w:rPr>
        <w:t>针对涉农企业治理结构不规范、财务不清晰等问题，联合会计师事务所、律师事务所，为广东乡村振兴板挂牌企业开展财务规范、历史沿革梳理、战略规划等深度服务，推动企业通过规范股改，实现规范经营。</w:t>
      </w:r>
    </w:p>
    <w:p>
      <w:pPr>
        <w:widowControl/>
        <w:shd w:val="clear" w:color="auto" w:fill="FFFFFF"/>
        <w:autoSpaceDE w:val="0"/>
        <w:spacing w:after="0" w:line="560" w:lineRule="exact"/>
        <w:ind w:firstLine="643" w:firstLineChars="200"/>
        <w:rPr>
          <w:rFonts w:ascii="Times New Roman" w:hAnsi="Times New Roman" w:eastAsia="楷体" w:cs="Times New Roman"/>
          <w:b/>
          <w:bCs/>
          <w:kern w:val="0"/>
          <w:sz w:val="32"/>
          <w:szCs w:val="32"/>
          <w:shd w:val="clear" w:color="auto" w:fill="FFFFFF"/>
        </w:rPr>
      </w:pPr>
      <w:r>
        <w:rPr>
          <w:rFonts w:ascii="Times New Roman" w:hAnsi="Times New Roman" w:eastAsia="楷体" w:cs="Times New Roman"/>
          <w:b/>
          <w:bCs/>
          <w:kern w:val="0"/>
          <w:sz w:val="32"/>
          <w:szCs w:val="32"/>
          <w:shd w:val="clear" w:color="auto" w:fill="FFFFFF"/>
        </w:rPr>
        <w:t>（三）设立乡村振兴专属融资平台引金融活水精准滴灌县域特色产业。</w:t>
      </w:r>
      <w:r>
        <w:rPr>
          <w:rFonts w:ascii="Times New Roman" w:hAnsi="Times New Roman" w:eastAsia="仿宋" w:cs="Times New Roman"/>
          <w:b/>
          <w:bCs/>
          <w:kern w:val="0"/>
          <w:sz w:val="32"/>
          <w:szCs w:val="32"/>
          <w:shd w:val="clear" w:color="auto" w:fill="FFFFFF"/>
        </w:rPr>
        <w:t>一是设立乡村振兴专区。</w:t>
      </w:r>
      <w:r>
        <w:rPr>
          <w:rFonts w:ascii="Times New Roman" w:hAnsi="Times New Roman" w:eastAsia="仿宋" w:cs="Times New Roman"/>
          <w:kern w:val="0"/>
          <w:sz w:val="32"/>
          <w:szCs w:val="32"/>
          <w:shd w:val="clear" w:color="auto" w:fill="FFFFFF"/>
        </w:rPr>
        <w:t>依托广东省中小企业融资平台，联动广东省金融支农促进会银行、保险、担保、基金等会员金融机构，在广东省中小企业融资平台设立乡村振兴专区，针对农业企业融资成本较高、信用建设较薄弱、易受自然因素影响等问题，引入融资担保、融资租赁等机构，解决农业主体信用不足、担保能力不足痛点。</w:t>
      </w:r>
      <w:r>
        <w:rPr>
          <w:rFonts w:ascii="Times New Roman" w:hAnsi="Times New Roman" w:eastAsia="仿宋" w:cs="Times New Roman"/>
          <w:b/>
          <w:bCs/>
          <w:kern w:val="0"/>
          <w:sz w:val="32"/>
          <w:szCs w:val="32"/>
          <w:shd w:val="clear" w:color="auto" w:fill="FFFFFF"/>
        </w:rPr>
        <w:t>二是聚焦县域特色产业进行支持。</w:t>
      </w:r>
      <w:r>
        <w:rPr>
          <w:rFonts w:ascii="Times New Roman" w:hAnsi="Times New Roman" w:eastAsia="仿宋" w:cs="Times New Roman"/>
          <w:kern w:val="0"/>
          <w:sz w:val="32"/>
          <w:szCs w:val="32"/>
          <w:shd w:val="clear" w:color="auto" w:fill="FFFFFF"/>
        </w:rPr>
        <w:t>以化橘红、陈皮、海洋牧场、客家预制菜4大产业为切入点，通过资源对接，优化产业链条，引资引商，强化金融创新，以“金融活水”赋能县域特色产业发展，不断提升金融服务乡村振兴能力。</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（四）组建乡村振兴专家智库持续探索创新服务模式。</w:t>
      </w:r>
      <w:r>
        <w:rPr>
          <w:rFonts w:ascii="Times New Roman" w:hAnsi="Times New Roman" w:eastAsia="仿宋" w:cs="Times New Roman"/>
          <w:kern w:val="0"/>
          <w:sz w:val="32"/>
          <w:szCs w:val="32"/>
          <w:shd w:val="clear" w:color="auto" w:fill="FFFFFF"/>
        </w:rPr>
        <w:t>强化“广东乡村振兴板”龙头企业引领带动乡村全面振兴和农业农村现代化的生力军作用，打造农业全产业链、构建现代乡村产业体系的中坚力量，广东乡村振兴板邀请农业农村部规划设计研究院投资所、省市场监督管理局、广东财经大学、省农业农村投资项目中心、广东乡村振兴板专家咨询委员会委员代表及农业金融专家开展专家研讨会，围绕最新政策导向，研究创新资本市场赋能乡村振兴模式，不断增强涉农企业服务和业务创新。</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spacing w:after="0" w:line="560" w:lineRule="exact"/>
        <w:ind w:firstLine="640" w:firstLineChars="200"/>
        <w:rPr>
          <w:rFonts w:ascii="Times New Roman" w:hAnsi="Times New Roman" w:eastAsia="仿宋" w:cs="Times New Roman"/>
          <w:szCs w:val="21"/>
          <w14:ligatures w14:val="standardContextual"/>
        </w:rPr>
      </w:pPr>
      <w:r>
        <w:rPr>
          <w:rFonts w:ascii="Times New Roman" w:hAnsi="Times New Roman" w:eastAsia="仿宋" w:cs="Times New Roman"/>
          <w:kern w:val="0"/>
          <w:sz w:val="32"/>
          <w:szCs w:val="32"/>
          <w:shd w:val="clear" w:color="auto" w:fill="FFFFFF"/>
        </w:rPr>
        <w:t>截至2023年末，广东乡村振兴板挂牌展示企业合计464家，帮助263家企业获11家银行79.52亿元融资授信，96家企业实现银行融资15.93亿元，10家企业获得股权融资18.51亿元，帮助1家企业完成股改，推动广东利泰农业开发有限公司、饶平源林药业科技有限公司、广东深融生态产业有限公司等11家企业启动股份改制，1家企业在广东证监局完成辅导备案，拟在主板上市。挂牌企业2023年度平均营业收入为6778万元，平均净利润531万元。挂牌企业行业分布集中于种植业188家、农产品加工60家、农业综合59家，58%以上的企业为省、市、区县级农业龙头企业，在重点产业方面，涵盖水稻、薯类、种业、设施农业、生猪养殖、物流、海洋牧场等重点产业企业127家，帮助各类重点产业企业获得银行融资超2亿元。在重点县区方面，惠东县、海丰县、陆丰市等重点县区共有173家企业在广东乡村振兴板挂牌展示，共对接银行融资授信近2亿元。成功推动新会陈皮、化橘红产业借助资本市场实现产业快速转型升级；帮助预制菜产业打通了产业链上下游节点，推动千万级订单落地；加速“海南晨海水产”扩大广东重大项目投资落地，赋能千亿级海洋牧场，推进海洋经济高质量发展。</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widowControl/>
        <w:shd w:val="clear" w:color="auto" w:fill="FFFFFF"/>
        <w:autoSpaceDE w:val="0"/>
        <w:spacing w:after="0" w:line="56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广东省农业农村厅设立广东乡村振兴板，打造农业企业专属资本平台，联合广东省金融支农促进会及其会员银行、保险、基金、高校、科研院所等单位机构，加强各大机构之间的合作和交流，形成具有创新活力的金融生态圈，充分发挥各自优势，进一步提高金融支农的质量和效率，助力企业获得更多的政策、资金、技术、人才等各类资本市场服务支持，为挂牌企业提供“孵化培育+政策匹配+融资对接+知识产权+金融路演+股改规范+上市辅导”全链条综合金融服务，为规范农业企业发展以及强化龙头企业“生力军、中坚力量”发挥积极作用，丰富了农业投融资渠道，促进了农业投融资精准对接，助力农业企业进入更高层次的资本市场。</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五、下一步工作安排</w:t>
      </w:r>
    </w:p>
    <w:p>
      <w:pPr>
        <w:widowControl/>
        <w:shd w:val="clear" w:color="auto" w:fill="FFFFFF"/>
        <w:autoSpaceDE w:val="0"/>
        <w:spacing w:after="0" w:line="56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省农业农村厅将继续贯彻党中央、国务院决策部署和农业农村部工作安排，建设完善广东省涉农企业专属资本平台，探索推进以下工作：</w:t>
      </w:r>
      <w:r>
        <w:rPr>
          <w:rFonts w:ascii="Times New Roman" w:hAnsi="Times New Roman" w:eastAsia="仿宋" w:cs="Times New Roman"/>
          <w:b/>
          <w:bCs/>
          <w:kern w:val="0"/>
          <w:sz w:val="32"/>
          <w:szCs w:val="32"/>
          <w:shd w:val="clear" w:color="auto" w:fill="FFFFFF"/>
        </w:rPr>
        <w:t>一是持续完善广东乡村振兴板服务功能。</w:t>
      </w:r>
      <w:r>
        <w:rPr>
          <w:rFonts w:ascii="Times New Roman" w:hAnsi="Times New Roman" w:eastAsia="仿宋" w:cs="Times New Roman"/>
          <w:kern w:val="0"/>
          <w:sz w:val="32"/>
          <w:szCs w:val="32"/>
          <w:shd w:val="clear" w:color="auto" w:fill="FFFFFF"/>
        </w:rPr>
        <w:t>加强与广东省中小企业融资平台、广东省金融支农促进会联动，引导省内金融保险机构，针对农业企业融资成本高、缺乏抵质押物等问题，加强农业农村金融基础设施建设，探索运用区块链、大数据等新型信息技术，解决农业企业融资信用不足等痛点，切实增强农业农村领域金融服务的可得性。</w:t>
      </w:r>
      <w:r>
        <w:rPr>
          <w:rFonts w:ascii="Times New Roman" w:hAnsi="Times New Roman" w:eastAsia="仿宋" w:cs="Times New Roman"/>
          <w:b/>
          <w:bCs/>
          <w:kern w:val="0"/>
          <w:sz w:val="32"/>
          <w:szCs w:val="32"/>
          <w:shd w:val="clear" w:color="auto" w:fill="FFFFFF"/>
        </w:rPr>
        <w:t>二是构建全国性—区域性股权交易市场挂牌上市梯度培育体系。</w:t>
      </w:r>
      <w:r>
        <w:rPr>
          <w:rFonts w:ascii="Times New Roman" w:hAnsi="Times New Roman" w:eastAsia="仿宋" w:cs="Times New Roman"/>
          <w:kern w:val="0"/>
          <w:sz w:val="32"/>
          <w:szCs w:val="32"/>
          <w:shd w:val="clear" w:color="auto" w:fill="FFFFFF"/>
        </w:rPr>
        <w:t>引导有意挂牌上市的农业龙头企业先行赴广东乡村振兴板挂牌展示，建设挖掘聚集、规范培育、助推上市、综合服务四个平台，推动建立与沪深北证券交易所“绿色通道”，推动更多挂牌展示企业登陆高层次资本市场。</w:t>
      </w:r>
    </w:p>
    <w:p>
      <w:pPr>
        <w:widowControl/>
        <w:shd w:val="clear" w:color="auto" w:fill="FFFFFF"/>
        <w:autoSpaceDE w:val="0"/>
        <w:spacing w:after="0" w:line="560" w:lineRule="exact"/>
        <w:ind w:firstLine="640" w:firstLineChars="200"/>
        <w:rPr>
          <w:rFonts w:ascii="Times New Roman" w:hAnsi="Times New Roman" w:eastAsia="仿宋" w:cs="Times New Roman"/>
          <w:kern w:val="0"/>
          <w:sz w:val="32"/>
          <w:szCs w:val="32"/>
          <w:shd w:val="clear" w:color="auto" w:fill="FFFFFF"/>
        </w:rPr>
      </w:pPr>
    </w:p>
    <w:p>
      <w:pPr>
        <w:spacing w:after="0" w:line="560" w:lineRule="exact"/>
        <w:rPr>
          <w:rFonts w:ascii="Times New Roman" w:hAnsi="Times New Roman" w:eastAsia="等线" w:cs="Times New Roman"/>
          <w:szCs w:val="21"/>
          <w14:ligatures w14:val="standardContextual"/>
        </w:rPr>
        <w:sectPr>
          <w:pgSz w:w="11906" w:h="16838"/>
          <w:pgMar w:top="1440" w:right="1800" w:bottom="1440" w:left="1800" w:header="851" w:footer="992" w:gutter="0"/>
          <w:cols w:space="425" w:num="1"/>
          <w:docGrid w:type="lines" w:linePitch="312" w:charSpace="0"/>
        </w:sectPr>
      </w:pP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1C67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2024-05-20T07:55:37Z</dcterms:created>
  <dc:creator>16214</dc:creator>
  <cp:lastModifiedBy>ZL</cp:lastModifiedBy>
  <dcterms:modified xsi:type="dcterms:W3CDTF">2024-05-20T07:56:19Z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856F4B053DF94CF3B900A0FFEE3FFA00_12</vt:lpwstr>
  </property>
</Properties>
</file>