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after="156" w:afterLines="50" w:line="560" w:lineRule="exact"/>
        <w:jc w:val="left"/>
        <w:outlineLvl w:val="2"/>
        <w:rPr>
          <w:rFonts w:ascii="Times New Roman" w:hAnsi="Times New Roman" w:eastAsia="华文中宋" w:cs="Times New Roman"/>
          <w:bCs/>
          <w:sz w:val="36"/>
          <w:szCs w:val="36"/>
        </w:rPr>
      </w:pPr>
      <w:bookmarkStart w:id="0" w:name="_Toc164326885"/>
      <w:r>
        <w:rPr>
          <w:rFonts w:ascii="Times New Roman" w:hAnsi="Times New Roman" w:eastAsia="华文中宋" w:cs="Times New Roman"/>
          <w:bCs/>
          <w:sz w:val="36"/>
          <w:szCs w:val="36"/>
        </w:rPr>
        <w:t>创新模式七：</w:t>
      </w:r>
      <w:bookmarkEnd w:id="0"/>
    </w:p>
    <w:p>
      <w:pPr>
        <w:spacing w:line="560" w:lineRule="exact"/>
        <w:jc w:val="center"/>
        <w:outlineLvl w:val="2"/>
        <w:rPr>
          <w:rFonts w:ascii="Times New Roman" w:hAnsi="Times New Roman" w:eastAsia="华文中宋" w:cs="Times New Roman"/>
          <w:sz w:val="36"/>
          <w:szCs w:val="36"/>
        </w:rPr>
      </w:pPr>
      <w:bookmarkStart w:id="1" w:name="_Toc164326886"/>
      <w:r>
        <w:rPr>
          <w:rFonts w:ascii="Times New Roman" w:hAnsi="Times New Roman" w:eastAsia="华文中宋" w:cs="Times New Roman"/>
          <w:sz w:val="36"/>
          <w:szCs w:val="36"/>
        </w:rPr>
        <w:t>中信银行“1+2+3+N”业务布局</w:t>
      </w:r>
      <w:bookmarkEnd w:id="1"/>
      <w:r>
        <w:rPr>
          <w:rFonts w:ascii="Times New Roman" w:hAnsi="Times New Roman" w:eastAsia="华文中宋" w:cs="Times New Roman"/>
          <w:sz w:val="36"/>
          <w:szCs w:val="36"/>
        </w:rPr>
        <w:t xml:space="preserve"> </w:t>
      </w:r>
      <w:bookmarkStart w:id="2" w:name="_Toc164326887"/>
      <w:r>
        <w:rPr>
          <w:rFonts w:ascii="Times New Roman" w:hAnsi="Times New Roman" w:eastAsia="华文中宋" w:cs="Times New Roman"/>
          <w:sz w:val="36"/>
          <w:szCs w:val="36"/>
        </w:rPr>
        <w:t>助力农垦高质量发展模式</w:t>
      </w:r>
      <w:bookmarkEnd w:id="2"/>
    </w:p>
    <w:p>
      <w:pPr>
        <w:adjustRightInd w:val="0"/>
        <w:snapToGrid w:val="0"/>
        <w:spacing w:line="560" w:lineRule="exact"/>
        <w:ind w:firstLine="680" w:firstLineChars="200"/>
        <w:rPr>
          <w:rFonts w:ascii="Times New Roman" w:hAnsi="Times New Roman" w:eastAsia="仿宋_GB2312" w:cs="Times New Roman"/>
          <w:snapToGrid w:val="0"/>
          <w:spacing w:val="10"/>
          <w:kern w:val="0"/>
          <w:sz w:val="32"/>
          <w:szCs w:val="32"/>
        </w:rPr>
      </w:pPr>
    </w:p>
    <w:p>
      <w:pPr>
        <w:adjustRightInd w:val="0"/>
        <w:snapToGrid w:val="0"/>
        <w:spacing w:line="560" w:lineRule="exact"/>
        <w:ind w:firstLine="683" w:firstLineChars="200"/>
        <w:rPr>
          <w:rFonts w:ascii="Times New Roman" w:hAnsi="Times New Roman" w:eastAsia="楷体" w:cs="Times New Roman"/>
          <w:snapToGrid w:val="0"/>
          <w:spacing w:val="10"/>
          <w:kern w:val="0"/>
          <w:sz w:val="32"/>
          <w:szCs w:val="32"/>
        </w:rPr>
      </w:pPr>
      <w:r>
        <w:rPr>
          <w:rFonts w:ascii="Times New Roman" w:hAnsi="Times New Roman" w:eastAsia="仿宋_GB2312" w:cs="Times New Roman"/>
          <w:b/>
          <w:bCs/>
          <w:snapToGrid w:val="0"/>
          <w:spacing w:val="10"/>
          <w:kern w:val="0"/>
          <w:sz w:val="32"/>
          <w:szCs w:val="32"/>
        </w:rPr>
        <w:t>【</w:t>
      </w:r>
      <w:r>
        <w:rPr>
          <w:rFonts w:ascii="Times New Roman" w:hAnsi="Times New Roman" w:eastAsia="楷体" w:cs="Times New Roman"/>
          <w:b/>
          <w:bCs/>
          <w:snapToGrid w:val="0"/>
          <w:spacing w:val="10"/>
          <w:kern w:val="0"/>
          <w:sz w:val="32"/>
          <w:szCs w:val="32"/>
        </w:rPr>
        <w:t>摘要</w:t>
      </w:r>
      <w:r>
        <w:rPr>
          <w:rFonts w:ascii="Times New Roman" w:hAnsi="Times New Roman" w:eastAsia="仿宋_GB2312" w:cs="Times New Roman"/>
          <w:b/>
          <w:bCs/>
          <w:snapToGrid w:val="0"/>
          <w:spacing w:val="10"/>
          <w:kern w:val="0"/>
          <w:sz w:val="32"/>
          <w:szCs w:val="32"/>
        </w:rPr>
        <w:t>】</w:t>
      </w:r>
      <w:r>
        <w:rPr>
          <w:rFonts w:ascii="Times New Roman" w:hAnsi="Times New Roman" w:eastAsia="楷体" w:cs="Times New Roman"/>
          <w:snapToGrid w:val="0"/>
          <w:spacing w:val="10"/>
          <w:kern w:val="0"/>
          <w:sz w:val="32"/>
          <w:szCs w:val="32"/>
        </w:rPr>
        <w:t>农垦是国有农业经济的骨干和代表，是推进中国特色新型农业现代化的重要力量。农垦改革发展离不开金融的大力支持。</w:t>
      </w:r>
      <w:r>
        <w:rPr>
          <w:rFonts w:ascii="Times New Roman" w:hAnsi="Times New Roman" w:eastAsia="楷体" w:cs="Times New Roman"/>
          <w:sz w:val="32"/>
          <w:szCs w:val="32"/>
        </w:rPr>
        <w:t>近年来，</w:t>
      </w:r>
      <w:r>
        <w:rPr>
          <w:rFonts w:ascii="Times New Roman" w:hAnsi="Times New Roman" w:eastAsia="楷体" w:cs="Times New Roman"/>
          <w:snapToGrid w:val="0"/>
          <w:spacing w:val="10"/>
          <w:kern w:val="0"/>
          <w:sz w:val="32"/>
          <w:szCs w:val="32"/>
        </w:rPr>
        <w:t>中信银行</w:t>
      </w:r>
      <w:r>
        <w:rPr>
          <w:rFonts w:ascii="Times New Roman" w:hAnsi="Times New Roman" w:eastAsia="楷体" w:cs="Times New Roman"/>
          <w:sz w:val="32"/>
          <w:szCs w:val="32"/>
        </w:rPr>
        <w:t>基于中信集团产融并举的多元业态，</w:t>
      </w:r>
      <w:r>
        <w:rPr>
          <w:rFonts w:ascii="Times New Roman" w:hAnsi="Times New Roman" w:eastAsia="楷体" w:cs="Times New Roman"/>
          <w:snapToGrid w:val="0"/>
          <w:spacing w:val="10"/>
          <w:kern w:val="0"/>
          <w:sz w:val="32"/>
          <w:szCs w:val="32"/>
        </w:rPr>
        <w:t>联合农业农村部农垦局聚焦全国农垦“金融+非金融”需求，</w:t>
      </w:r>
      <w:r>
        <w:rPr>
          <w:rFonts w:ascii="Times New Roman" w:hAnsi="Times New Roman" w:eastAsia="楷体" w:cs="Times New Roman"/>
          <w:sz w:val="32"/>
          <w:szCs w:val="32"/>
        </w:rPr>
        <w:t>探索形成农垦领域“1+2+3+N”布局，即围绕“农垦粮食安全、重要农产品保供”这一主线，积极推进金融端、实业端两大业务布局，逐步探索形成“农垦融资链”“农垦融产链”“农垦融智链”三大核心动力，构建起上中下游产业N个场景</w:t>
      </w:r>
      <w:r>
        <w:rPr>
          <w:rFonts w:ascii="Times New Roman" w:hAnsi="Times New Roman" w:eastAsia="楷体" w:cs="Times New Roman"/>
          <w:snapToGrid w:val="0"/>
          <w:spacing w:val="10"/>
          <w:kern w:val="0"/>
          <w:sz w:val="32"/>
          <w:szCs w:val="32"/>
        </w:rPr>
        <w:t>，为农垦高质量发展提供“中信解决方案”，为推进乡村全面振兴、加快建设农业强国贡献农垦力量。</w:t>
      </w:r>
    </w:p>
    <w:p>
      <w:pPr>
        <w:adjustRightInd w:val="0"/>
        <w:snapToGrid w:val="0"/>
        <w:spacing w:line="560" w:lineRule="exact"/>
        <w:ind w:firstLine="460" w:firstLineChars="200"/>
        <w:rPr>
          <w:rFonts w:ascii="Times New Roman" w:hAnsi="Times New Roman" w:eastAsia="楷体" w:cs="Times New Roman"/>
          <w:snapToGrid w:val="0"/>
          <w:spacing w:val="10"/>
          <w:kern w:val="0"/>
          <w:szCs w:val="21"/>
        </w:rPr>
      </w:pPr>
    </w:p>
    <w:p>
      <w:pPr>
        <w:pStyle w:val="7"/>
        <w:snapToGrid w:val="0"/>
        <w:spacing w:before="156" w:beforeLines="50" w:after="156" w:afterLines="50"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一、创新背景</w:t>
      </w:r>
    </w:p>
    <w:p>
      <w:pPr>
        <w:pStyle w:val="7"/>
        <w:snapToGrid w:val="0"/>
        <w:spacing w:after="0" w:line="560" w:lineRule="exact"/>
        <w:ind w:firstLine="640"/>
        <w:rPr>
          <w:rFonts w:ascii="Times New Roman" w:hAnsi="Times New Roman" w:eastAsia="黑体" w:cs="Times New Roman"/>
          <w:sz w:val="32"/>
          <w:szCs w:val="32"/>
        </w:rPr>
      </w:pPr>
      <w:r>
        <w:rPr>
          <w:rFonts w:ascii="Times New Roman" w:hAnsi="Times New Roman" w:eastAsia="仿宋" w:cs="Times New Roman"/>
          <w:sz w:val="32"/>
          <w:szCs w:val="32"/>
        </w:rPr>
        <w:t>农业是国民经济的基础产业，我国作为一个发展中国家和人口大国，农业问题、粮食问题关系到国计民生和社会稳定。党的二十大报告和中央一号文件都对推进乡村全面振兴、加快建设农业强国作出了战略部署。习近平总书记指出，保障粮食和重要农产品稳定安全供给始终是建设农业强国的头等大事。2023年中央经济工作会议再次强调，“要锚定建设农业强国目标，毫不放松抓好粮食等重要农产品稳定安全供给。树立大农业观、大食物观，把农业建成现代化大产业。”农垦作为国有农业经济的骨干和代表，是推进中国特色新型农业现代化的重要力量。加快建设现代农业的大基地、大企业、大产业，需要进一步巩固和提升农垦现代农业国家队的地位。在农业农村部</w:t>
      </w:r>
      <w:bookmarkStart w:id="3" w:name="_GoBack"/>
      <w:bookmarkEnd w:id="3"/>
      <w:r>
        <w:rPr>
          <w:rFonts w:ascii="Times New Roman" w:hAnsi="Times New Roman" w:eastAsia="仿宋" w:cs="Times New Roman"/>
          <w:sz w:val="32"/>
          <w:szCs w:val="32"/>
        </w:rPr>
        <w:t>引导支持下，中信银行紧跟国家发展大势，强化与农垦集团合作，签订《共同推进农垦高质量发展工作方案》，建立共同推进农垦改革发展的全面战略合作关系，定期组织银垦研讨会，全方位、多环节支持农垦企业和上下游生态圈，成功探索出一条N个金融场景赋能农垦高质量发展的新模式。</w:t>
      </w:r>
    </w:p>
    <w:p>
      <w:pPr>
        <w:pStyle w:val="7"/>
        <w:snapToGrid w:val="0"/>
        <w:spacing w:before="156" w:beforeLines="50" w:after="156" w:afterLines="50" w:line="560" w:lineRule="exact"/>
        <w:ind w:firstLine="64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二、主要做法</w:t>
      </w:r>
    </w:p>
    <w:p>
      <w:pPr>
        <w:adjustRightInd w:val="0"/>
        <w:snapToGrid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（一）打造“农垦融资链”，为农垦生态圈提供资金保障。</w:t>
      </w:r>
      <w:r>
        <w:rPr>
          <w:rFonts w:ascii="Times New Roman" w:hAnsi="Times New Roman" w:eastAsia="仿宋" w:cs="Times New Roman"/>
          <w:sz w:val="32"/>
          <w:szCs w:val="32"/>
        </w:rPr>
        <w:t>中信银行发挥金融服务优势，落实中央金融工作会议“普惠金融”与“科技金融”大文章，维护国家粮食安全的重大政治责任，按照农业农村基础设施重大项目清单，依托“信贷直通车”三种业务模式，将更多金融资源配置到小微企业、农户等传统金融难以覆盖到的“长尾”客群，主动服务广大新型农垦经营主体，把金融工作人民性、政治性落到实处。</w:t>
      </w:r>
      <w:r>
        <w:rPr>
          <w:rFonts w:ascii="Times New Roman" w:hAnsi="Times New Roman" w:eastAsia="仿宋" w:cs="Times New Roman"/>
          <w:b/>
          <w:bCs/>
          <w:sz w:val="32"/>
          <w:szCs w:val="32"/>
        </w:rPr>
        <w:t>一是创新“粮食银行”业务模式。</w:t>
      </w:r>
      <w:r>
        <w:rPr>
          <w:rFonts w:ascii="Times New Roman" w:hAnsi="Times New Roman" w:eastAsia="仿宋" w:cs="Times New Roman"/>
          <w:sz w:val="32"/>
          <w:szCs w:val="32"/>
        </w:rPr>
        <w:t>围绕农垦粮食贸易的上下游交易链，通过大数据建立模型，针对粮食贸易企业开展应收账款类、预付账款类、票据业务等业务，进一步增强粮源掌控能力，为收储粮库赋予更多的金融价值。</w:t>
      </w:r>
      <w:r>
        <w:rPr>
          <w:rFonts w:ascii="Times New Roman" w:hAnsi="Times New Roman" w:eastAsia="仿宋" w:cs="Times New Roman"/>
          <w:b/>
          <w:bCs/>
          <w:sz w:val="32"/>
          <w:szCs w:val="32"/>
        </w:rPr>
        <w:t>二是创设“粮农贷”乡村振兴产品。</w:t>
      </w:r>
      <w:r>
        <w:rPr>
          <w:rFonts w:ascii="Times New Roman" w:hAnsi="Times New Roman" w:eastAsia="仿宋" w:cs="Times New Roman"/>
          <w:sz w:val="32"/>
          <w:szCs w:val="32"/>
        </w:rPr>
        <w:t>依托农户基础身份信息、种植经营等数据，切入农户真实种植场景，在线审批无担保纯信用贷款，支持粮农的蔬果粮食种植、种苗培育、农业生产基础设施建设、农机设备购买等金融需求，授信粮户2300余户，放款近4亿元。</w:t>
      </w:r>
      <w:r>
        <w:rPr>
          <w:rFonts w:ascii="Times New Roman" w:hAnsi="Times New Roman" w:eastAsia="仿宋" w:cs="Times New Roman"/>
          <w:b/>
          <w:bCs/>
          <w:sz w:val="32"/>
          <w:szCs w:val="32"/>
        </w:rPr>
        <w:t>三是创优“经销e贷”富农产品</w:t>
      </w:r>
      <w:r>
        <w:rPr>
          <w:rFonts w:ascii="Times New Roman" w:hAnsi="Times New Roman" w:eastAsia="仿宋" w:cs="Times New Roman"/>
          <w:sz w:val="32"/>
          <w:szCs w:val="32"/>
        </w:rPr>
        <w:t>。深挖农垦企业上下游供应链需求，发挥科技力量，依托订单数据等设计业务风险模型，探索支持小微企业模式，保障供应链产业链稳定。</w:t>
      </w:r>
    </w:p>
    <w:p>
      <w:pPr>
        <w:adjustRightInd w:val="0"/>
        <w:snapToGrid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（二）打造“农垦融产链”，推动农垦产业国际化运营。</w:t>
      </w:r>
      <w:r>
        <w:rPr>
          <w:rFonts w:ascii="Times New Roman" w:hAnsi="Times New Roman" w:eastAsia="仿宋" w:cs="Times New Roman"/>
          <w:sz w:val="32"/>
          <w:szCs w:val="32"/>
        </w:rPr>
        <w:t>中信银行协同中信建设、农垦集团，推动哈萨克斯坦牛肉进入国内市场，充分发挥“金融+实业”优势，赋能“一带一路”。中信阿拉山口海关监管隔离场和屠宰场、边民互市贸易区和粮食现代物流中心，是中欧班列重要节点上集畜产品检疫、屠宰加工、冷冻冷藏、贸易于一体的综合性项目。一方面，中信建设推动首农集团通过中欧班列，将哈萨克斯坦纯天然的优质的牛肉源源不断进口到中国；另一方面，中信银行为首农集团下游经销商采购牛肉提供纯信用普惠贷款支持，持续为中国消费者提供优质的鲜牛肉和冻牛肉。此外，中信建设与云南农垦合作成立云南省农业国际发展有限公司，打造农业国际发展合作平台，发挥农垦集团在境外农业项目的项目运营、人力资源的管理优势，中信建设在境外工程建设、市场开发的资源优势，以缅甸农业产业综合类项目运营管理为抓手，深入“海上丝绸之路”沿线，构建“国际粮食产业供应链”，推动国际农业产业综合类项目的实施。</w:t>
      </w:r>
    </w:p>
    <w:p>
      <w:pPr>
        <w:adjustRightInd w:val="0"/>
        <w:snapToGrid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（三）打造“农垦融智链”，促进农垦经济高质量发展。</w:t>
      </w:r>
      <w:r>
        <w:rPr>
          <w:rFonts w:ascii="Times New Roman" w:hAnsi="Times New Roman" w:eastAsia="仿宋" w:cs="Times New Roman"/>
          <w:sz w:val="32"/>
          <w:szCs w:val="32"/>
        </w:rPr>
        <w:t>伴随农垦产业改革进程，中信银行联合中信咨询、中信证券等集团子公司，积极引导社会资本投入垦区企业，参与农业产业化发展，发挥财政资金杠杆作用，为农垦产业改革提供一揽子“金融+非金融”解决方案，助力农垦现代化企业建设。</w:t>
      </w:r>
      <w:r>
        <w:rPr>
          <w:rFonts w:ascii="Times New Roman" w:hAnsi="Times New Roman" w:eastAsia="仿宋" w:cs="Times New Roman"/>
          <w:b/>
          <w:bCs/>
          <w:sz w:val="32"/>
          <w:szCs w:val="32"/>
        </w:rPr>
        <w:t>一是推动“金融+科技”赋能。</w:t>
      </w:r>
      <w:r>
        <w:rPr>
          <w:rFonts w:ascii="Times New Roman" w:hAnsi="Times New Roman" w:eastAsia="仿宋" w:cs="Times New Roman"/>
          <w:sz w:val="32"/>
          <w:szCs w:val="32"/>
        </w:rPr>
        <w:t>中信银行协同中信农业在确保种业安全的同时，提供信贷资金有效支持高标准农田建设，充分发挥“金融+科技”优势，赋能“数字农服”，助力实现了30万亩农田线上化种植，将农事管理涉及的“耕-种-管-收-储-运-销”等多个动作环节全链条线上管理，使企业农田直接管理成本下降50%、亩产提升20%。截至2023年末，中信银行涉农贷款余额5604亿元，较年初增长735亿元，增速15.10%。</w:t>
      </w:r>
      <w:r>
        <w:rPr>
          <w:rFonts w:ascii="Times New Roman" w:hAnsi="Times New Roman" w:eastAsia="仿宋" w:cs="Times New Roman"/>
          <w:b/>
          <w:bCs/>
          <w:sz w:val="32"/>
          <w:szCs w:val="32"/>
        </w:rPr>
        <w:t>二是探索“金融+管理”协同。</w:t>
      </w:r>
      <w:r>
        <w:rPr>
          <w:rFonts w:ascii="Times New Roman" w:hAnsi="Times New Roman" w:eastAsia="仿宋" w:cs="Times New Roman"/>
          <w:sz w:val="32"/>
          <w:szCs w:val="32"/>
        </w:rPr>
        <w:t>中信银行通过金融科技手段赋能农垦集团来提升财务管理效率，为农垦企业的国际合作提供更方便、快捷、多样的跨境融资支持。如中信银行联合海南农垦开展“司库管理体系和平台建设”，为农垦集团提供司库体系建设，提升农垦企业资金管理精益化、集约化和智能化水平，增强抗风险能力。</w:t>
      </w:r>
      <w:r>
        <w:rPr>
          <w:rFonts w:ascii="Times New Roman" w:hAnsi="Times New Roman" w:eastAsia="仿宋" w:cs="Times New Roman"/>
          <w:b/>
          <w:bCs/>
          <w:sz w:val="32"/>
          <w:szCs w:val="32"/>
        </w:rPr>
        <w:t>三是发挥“金融+智库”优势。</w:t>
      </w:r>
      <w:r>
        <w:rPr>
          <w:rFonts w:ascii="Times New Roman" w:hAnsi="Times New Roman" w:eastAsia="仿宋" w:cs="Times New Roman"/>
          <w:sz w:val="32"/>
          <w:szCs w:val="32"/>
        </w:rPr>
        <w:t>中信银行联合中信咨询与云南农垦共同谋划云南农发集团的战略方向，借助中信咨询“金融+智库”力量，赋能顶层设计，引领带动云南高原特色现代农业高质量发展。发挥中信科技力量，中信银行为云南农垦上线天然橡胶线上化交易平台，助力建设天然橡胶电子商务体系，为天然橡胶在线交易提供交易、信息、质量检核和物流等服务，平台双边交易量近10万吨。</w:t>
      </w:r>
    </w:p>
    <w:p>
      <w:pPr>
        <w:pStyle w:val="7"/>
        <w:snapToGrid w:val="0"/>
        <w:spacing w:before="156" w:beforeLines="50" w:after="156" w:afterLines="50"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三、推广价值</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（一）新实践：落实党中央重大决策部署。</w:t>
      </w:r>
      <w:r>
        <w:rPr>
          <w:rFonts w:ascii="Times New Roman" w:hAnsi="Times New Roman" w:eastAsia="仿宋" w:cs="Times New Roman"/>
          <w:snapToGrid w:val="0"/>
          <w:spacing w:val="10"/>
          <w:sz w:val="32"/>
          <w:szCs w:val="32"/>
        </w:rPr>
        <w:t>党中央、国务院高度重视农垦事业发展。习近平总书记多次对农垦工作作出重要指示，明确指出农垦为保障国家粮食安全、支援国家建设、维护边疆稳定作出了重大贡献，是国家关键时刻抓得住、用得上的重要力量。</w:t>
      </w:r>
      <w:r>
        <w:rPr>
          <w:rFonts w:ascii="Times New Roman" w:hAnsi="Times New Roman" w:eastAsia="仿宋" w:cs="Times New Roman"/>
          <w:sz w:val="32"/>
          <w:szCs w:val="32"/>
        </w:rPr>
        <w:t>围绕保障粮食和重要农产品稳产保供，坚持科技和改革双轮驱动，针对金融支持农垦高质量发展进行研究，推动出台和完善相关金融支持农垦事业发展政策措施。积极探索“四联四促”新模式，在思想上、行动上与党中央保持高度一致，不断拓宽金融机构和农垦企业的合作空间。</w:t>
      </w:r>
    </w:p>
    <w:p>
      <w:pPr>
        <w:spacing w:after="0" w:line="560" w:lineRule="exact"/>
        <w:ind w:firstLine="643" w:firstLineChars="200"/>
        <w:rPr>
          <w:rFonts w:ascii="Times New Roman" w:hAnsi="Times New Roman" w:eastAsia="仿宋" w:cs="Times New Roman"/>
          <w:snapToGrid w:val="0"/>
          <w:spacing w:val="10"/>
          <w:sz w:val="32"/>
          <w:szCs w:val="32"/>
        </w:rPr>
      </w:pPr>
      <w:r>
        <w:rPr>
          <w:rFonts w:ascii="Times New Roman" w:hAnsi="Times New Roman" w:eastAsia="楷体" w:cs="Times New Roman"/>
          <w:b/>
          <w:bCs/>
          <w:sz w:val="32"/>
          <w:szCs w:val="32"/>
        </w:rPr>
        <w:t>（二）新方法：金融赋能农垦现代化产业体系。</w:t>
      </w:r>
      <w:r>
        <w:rPr>
          <w:rFonts w:ascii="Times New Roman" w:hAnsi="Times New Roman" w:eastAsia="仿宋" w:cs="Times New Roman"/>
          <w:snapToGrid w:val="0"/>
          <w:spacing w:val="10"/>
          <w:sz w:val="32"/>
          <w:szCs w:val="32"/>
        </w:rPr>
        <w:t>现代产业发展需要精准地把握发展趋势，聚合“人财物”资源，需要高效的金融体系支撑，解决产业发展之忧。更大范围聚合金融资源、最大限度整合协同服务能力、更大程度满足农垦企业综合需求，是金融机构服务农垦企业的现实性课题。以《关于扩大当前农业农村基础设施建设投资的工作方案》为引领，充分发挥中信集团和中信银行的资源优势，解决农垦企业需求更有针对性、整合性、适用性，在赋能农垦高质量发展上实现真正破题。</w:t>
      </w:r>
    </w:p>
    <w:p>
      <w:pPr>
        <w:spacing w:after="0" w:line="560" w:lineRule="exact"/>
        <w:ind w:firstLine="643" w:firstLineChars="200"/>
        <w:rPr>
          <w:rFonts w:ascii="Times New Roman" w:hAnsi="Times New Roman" w:eastAsia="仿宋" w:cs="Times New Roman"/>
          <w:snapToGrid w:val="0"/>
          <w:spacing w:val="10"/>
          <w:sz w:val="32"/>
          <w:szCs w:val="32"/>
        </w:rPr>
      </w:pPr>
      <w:r>
        <w:rPr>
          <w:rFonts w:ascii="Times New Roman" w:hAnsi="Times New Roman" w:eastAsia="楷体" w:cs="Times New Roman"/>
          <w:b/>
          <w:bCs/>
          <w:sz w:val="32"/>
          <w:szCs w:val="32"/>
        </w:rPr>
        <w:t>（三）新举措：打造农垦产业共赢生态圈。</w:t>
      </w:r>
      <w:r>
        <w:rPr>
          <w:rFonts w:ascii="Times New Roman" w:hAnsi="Times New Roman" w:eastAsia="仿宋" w:cs="Times New Roman"/>
          <w:snapToGrid w:val="0"/>
          <w:spacing w:val="10"/>
          <w:sz w:val="32"/>
          <w:szCs w:val="32"/>
        </w:rPr>
        <w:t>在推进农业现代化企业进程中，农垦企业需要主动谋划一揽子金融解决方案，而不仅是单点金融服务。不仅要解决企业端需求，也需要解决企业员工、供应商、经销商、社会贡献等需求；不仅要解决“融资”问题，更需要“融产”“融智”以实现长远发展。中信银行依托中信集团协同力量，为农垦企业提供“金融+非金融”解决方案，切实把脉全生命周期，给农垦企业带来全方位、定制化的综合金融服务。</w:t>
      </w:r>
    </w:p>
    <w:p>
      <w:pPr>
        <w:pStyle w:val="7"/>
        <w:snapToGrid w:val="0"/>
        <w:spacing w:before="156" w:beforeLines="50" w:after="156" w:afterLines="50"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四、下一步工作打算</w:t>
      </w:r>
    </w:p>
    <w:p>
      <w:pPr>
        <w:spacing w:after="0" w:line="560" w:lineRule="exact"/>
        <w:ind w:firstLine="680" w:firstLineChars="200"/>
      </w:pPr>
      <w:r>
        <w:rPr>
          <w:rFonts w:ascii="Times New Roman" w:hAnsi="Times New Roman" w:eastAsia="仿宋" w:cs="Times New Roman"/>
          <w:snapToGrid w:val="0"/>
          <w:spacing w:val="10"/>
          <w:sz w:val="32"/>
          <w:szCs w:val="32"/>
        </w:rPr>
        <w:t>中信银行将继续按照“1+2+3+N”业务布局，依托中信集团加大资源投入，深化与农业农村部农垦局、农垦集团合作，搭建一流业务模式创新平台。强化综合金融赋能，进一步发挥银行、证券、保险、基金等金融全牌照优势，创新金融产品和服务场景，构建差异化金融产品和服务体系，加大精准支持力度。积极打造农垦产业创新生态，把推进乡村全面振兴、建设农业强国等相关工作具体化、项目化，共同谱写新时代农业发展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10C25D37"/>
    <w:rsid w:val="5EC6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pPr>
      <w:spacing w:after="0" w:line="600" w:lineRule="exact"/>
      <w:ind w:firstLine="422" w:firstLineChars="200"/>
    </w:pPr>
    <w:rPr>
      <w:rFonts w:ascii="仿宋" w:hAnsi="仿宋" w:eastAsia="仿宋" w:cs="Courier New"/>
      <w:szCs w:val="21"/>
    </w:rPr>
  </w:style>
  <w:style w:type="paragraph" w:customStyle="1" w:styleId="3">
    <w:name w:val="正文 New New New New New New New New New New New New New New New New New New New New New New New New New New New New New New New New New New New New New New"/>
    <w:next w:val="4"/>
    <w:qFormat/>
    <w:uiPriority w:val="0"/>
    <w:pPr>
      <w:widowControl w:val="0"/>
      <w:spacing w:line="600" w:lineRule="exact"/>
      <w:ind w:firstLine="720" w:firstLineChars="200"/>
      <w:jc w:val="both"/>
    </w:pPr>
    <w:rPr>
      <w:rFonts w:ascii="Calibri" w:hAnsi="Calibri" w:eastAsia="宋体" w:cs="方正仿宋简体"/>
      <w:kern w:val="2"/>
      <w:sz w:val="36"/>
      <w:szCs w:val="36"/>
      <w:lang w:val="en-US" w:eastAsia="zh-CN" w:bidi="ar-SA"/>
    </w:rPr>
  </w:style>
  <w:style w:type="paragraph" w:styleId="4">
    <w:name w:val="footer"/>
    <w:basedOn w:val="1"/>
    <w:next w:val="1"/>
    <w:qFormat/>
    <w:uiPriority w:val="99"/>
    <w:pPr>
      <w:tabs>
        <w:tab w:val="center" w:pos="4153"/>
        <w:tab w:val="right" w:pos="8306"/>
      </w:tabs>
      <w:snapToGrid w:val="0"/>
      <w:spacing w:after="0" w:line="240" w:lineRule="atLeast"/>
      <w:ind w:firstLine="360"/>
      <w:jc w:val="left"/>
    </w:pPr>
    <w:rPr>
      <w:rFonts w:ascii="Times New Roman" w:hAnsi="Times New Roman" w:cs="Times New Roman"/>
      <w:szCs w:val="21"/>
    </w:rPr>
  </w:style>
  <w:style w:type="paragraph" w:styleId="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3083</Words>
  <Characters>3135</Characters>
  <Lines>0</Lines>
  <Paragraphs>0</Paragraphs>
  <TotalTime>0</TotalTime>
  <ScaleCrop>false</ScaleCrop>
  <LinksUpToDate>false</LinksUpToDate>
  <CharactersWithSpaces>3136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2024-05-20T07:21:00Z</dcterms:created>
  <dc:creator>16214</dc:creator>
  <cp:lastModifiedBy>ZL</cp:lastModifiedBy>
  <dcterms:modified xsi:type="dcterms:W3CDTF">2024-05-20T07:50:27Z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B2672C0BE3B54AD88E91A1E6191CE678_12</vt:lpwstr>
  </property>
</Properties>
</file>